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EAFE9" w14:textId="21D10AA0"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097728">
        <w:rPr>
          <w:rFonts w:eastAsia="MS Mincho" w:cs="Arial"/>
          <w:b/>
          <w:bCs/>
          <w:sz w:val="22"/>
          <w:lang w:eastAsia="ja-JP"/>
        </w:rPr>
        <w:t>6</w:t>
      </w:r>
      <w:r w:rsidRPr="00DE31D5">
        <w:rPr>
          <w:rFonts w:eastAsia="MS Mincho" w:cs="Arial"/>
          <w:b/>
          <w:bCs/>
          <w:sz w:val="22"/>
          <w:lang w:eastAsia="ja-JP"/>
        </w:rPr>
        <w:tab/>
      </w:r>
      <w:r w:rsidRPr="00E32BE3">
        <w:rPr>
          <w:rFonts w:eastAsia="MS Mincho" w:cs="Arial"/>
          <w:b/>
          <w:bCs/>
          <w:sz w:val="22"/>
          <w:lang w:eastAsia="ja-JP"/>
        </w:rPr>
        <w:t>R1-2</w:t>
      </w:r>
      <w:r w:rsidR="00461D7F" w:rsidRPr="00E32BE3">
        <w:rPr>
          <w:rFonts w:eastAsia="MS Mincho" w:cs="Arial"/>
          <w:b/>
          <w:bCs/>
          <w:sz w:val="22"/>
          <w:lang w:eastAsia="ja-JP"/>
        </w:rPr>
        <w:t>10</w:t>
      </w:r>
      <w:r w:rsidR="00743629">
        <w:rPr>
          <w:rFonts w:eastAsia="MS Mincho" w:cs="Arial"/>
          <w:b/>
          <w:bCs/>
          <w:sz w:val="22"/>
          <w:lang w:eastAsia="ja-JP"/>
        </w:rPr>
        <w:t>7965</w:t>
      </w:r>
    </w:p>
    <w:p w14:paraId="17EF7FF3" w14:textId="1C00F4A7"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097728">
        <w:rPr>
          <w:rFonts w:eastAsia="MS Mincho" w:cs="Arial"/>
          <w:b/>
          <w:bCs/>
          <w:sz w:val="22"/>
          <w:lang w:eastAsia="ja-JP"/>
        </w:rPr>
        <w:t>August</w:t>
      </w:r>
      <w:r w:rsidRPr="00DE31D5">
        <w:rPr>
          <w:rFonts w:eastAsia="MS Mincho" w:cs="Arial"/>
          <w:b/>
          <w:bCs/>
          <w:sz w:val="22"/>
          <w:lang w:eastAsia="ja-JP"/>
        </w:rPr>
        <w:t xml:space="preserve"> </w:t>
      </w:r>
      <w:r w:rsidR="00097728">
        <w:rPr>
          <w:rFonts w:eastAsia="MS Mincho" w:cs="Arial"/>
          <w:b/>
          <w:bCs/>
          <w:sz w:val="22"/>
          <w:lang w:eastAsia="ja-JP"/>
        </w:rPr>
        <w:t>16</w:t>
      </w:r>
      <w:r w:rsidRPr="00E32BE3">
        <w:rPr>
          <w:rFonts w:eastAsia="MS Mincho" w:cs="Arial"/>
          <w:b/>
          <w:bCs/>
          <w:sz w:val="22"/>
          <w:vertAlign w:val="superscript"/>
          <w:lang w:eastAsia="ja-JP"/>
        </w:rPr>
        <w:t>th</w:t>
      </w:r>
      <w:r w:rsidRPr="00DE31D5">
        <w:rPr>
          <w:rFonts w:eastAsia="MS Mincho" w:cs="Arial"/>
          <w:b/>
          <w:bCs/>
          <w:sz w:val="22"/>
          <w:lang w:eastAsia="ja-JP"/>
        </w:rPr>
        <w:t xml:space="preserve"> – 2</w:t>
      </w:r>
      <w:r w:rsidR="00E32BE3">
        <w:rPr>
          <w:rFonts w:eastAsia="MS Mincho" w:cs="Arial"/>
          <w:b/>
          <w:bCs/>
          <w:sz w:val="22"/>
          <w:lang w:eastAsia="ja-JP"/>
        </w:rPr>
        <w:t>7</w:t>
      </w:r>
      <w:r w:rsidRPr="00E32BE3">
        <w:rPr>
          <w:rFonts w:eastAsia="MS Mincho" w:cs="Arial"/>
          <w:b/>
          <w:bCs/>
          <w:sz w:val="22"/>
          <w:vertAlign w:val="superscript"/>
          <w:lang w:eastAsia="ja-JP"/>
        </w:rPr>
        <w:t>th</w:t>
      </w:r>
      <w:r w:rsidRPr="00DE31D5">
        <w:rPr>
          <w:rFonts w:eastAsia="MS Mincho" w:cs="Arial"/>
          <w:b/>
          <w:bCs/>
          <w:sz w:val="22"/>
          <w:lang w:eastAsia="ja-JP"/>
        </w:rPr>
        <w:t>, 202</w:t>
      </w:r>
      <w:r w:rsidR="00461D7F">
        <w:rPr>
          <w:rFonts w:eastAsia="MS Mincho" w:cs="Arial"/>
          <w:b/>
          <w:bCs/>
          <w:sz w:val="22"/>
          <w:lang w:eastAsia="ja-JP"/>
        </w:rPr>
        <w:t>1</w:t>
      </w:r>
    </w:p>
    <w:p w14:paraId="5C2EE73B" w14:textId="77777777" w:rsidR="00562493" w:rsidRPr="00097728" w:rsidRDefault="00562493" w:rsidP="00562493">
      <w:pPr>
        <w:widowControl w:val="0"/>
        <w:spacing w:after="0"/>
        <w:rPr>
          <w:rFonts w:eastAsia="Times New Roman"/>
          <w:b/>
          <w:bCs/>
          <w:sz w:val="24"/>
        </w:rPr>
      </w:pPr>
    </w:p>
    <w:p w14:paraId="006D8F9E" w14:textId="0CA03B7A" w:rsidR="004F2E2A" w:rsidRPr="004F2E2A" w:rsidRDefault="004F2E2A" w:rsidP="004F2E2A">
      <w:pPr>
        <w:spacing w:after="60"/>
        <w:ind w:left="1985" w:hanging="1985"/>
        <w:rPr>
          <w:rFonts w:eastAsiaTheme="minorEastAsia" w:cs="Arial"/>
        </w:rPr>
      </w:pPr>
      <w:r>
        <w:rPr>
          <w:rFonts w:cs="Arial"/>
          <w:b/>
        </w:rPr>
        <w:t>Title:</w:t>
      </w:r>
      <w:r>
        <w:rPr>
          <w:rFonts w:cs="Arial"/>
          <w:b/>
        </w:rPr>
        <w:tab/>
      </w:r>
      <w:r w:rsidR="00F00761" w:rsidRPr="00F00761">
        <w:rPr>
          <w:rFonts w:cs="Arial"/>
        </w:rPr>
        <w:t>Draft Reply LS on RAN</w:t>
      </w:r>
      <w:r w:rsidR="0029560D">
        <w:rPr>
          <w:rFonts w:cs="Arial"/>
        </w:rPr>
        <w:t>4</w:t>
      </w:r>
      <w:r w:rsidR="00F00761" w:rsidRPr="00F00761">
        <w:rPr>
          <w:rFonts w:cs="Arial"/>
        </w:rPr>
        <w:t xml:space="preserve"> </w:t>
      </w:r>
      <w:r w:rsidR="0029560D">
        <w:rPr>
          <w:rFonts w:cs="Arial"/>
        </w:rPr>
        <w:t xml:space="preserve">Reply to RAN1 </w:t>
      </w:r>
      <w:r w:rsidR="0029560D" w:rsidRPr="00D75448">
        <w:rPr>
          <w:rFonts w:cs="Arial"/>
        </w:rPr>
        <w:t xml:space="preserve">LS on </w:t>
      </w:r>
      <w:r w:rsidR="0029560D">
        <w:rPr>
          <w:rFonts w:cs="Arial"/>
        </w:rPr>
        <w:t>L1/L2-Centric Inter-Cell Mobility</w:t>
      </w:r>
    </w:p>
    <w:p w14:paraId="36B9B0EE" w14:textId="3D29EB94" w:rsidR="006F3C64" w:rsidRPr="009C1F0A" w:rsidRDefault="004F2E2A" w:rsidP="006F3C64">
      <w:pPr>
        <w:spacing w:after="60"/>
        <w:ind w:left="1985" w:hanging="1985"/>
        <w:rPr>
          <w:rFonts w:cs="Arial"/>
        </w:rPr>
      </w:pPr>
      <w:r>
        <w:rPr>
          <w:rFonts w:cs="Arial"/>
          <w:b/>
        </w:rPr>
        <w:t xml:space="preserve">Response to:      </w:t>
      </w:r>
      <w:r w:rsidR="00E62DE3">
        <w:rPr>
          <w:rFonts w:cs="Arial"/>
          <w:b/>
        </w:rPr>
        <w:t xml:space="preserve"> </w:t>
      </w:r>
      <w:r w:rsidR="0029560D" w:rsidRPr="0029560D">
        <w:rPr>
          <w:rFonts w:cs="Arial"/>
        </w:rPr>
        <w:fldChar w:fldCharType="begin"/>
      </w:r>
      <w:r w:rsidR="0029560D" w:rsidRPr="0029560D">
        <w:rPr>
          <w:rFonts w:cs="Arial"/>
        </w:rPr>
        <w:instrText xml:space="preserve"> DOCPROPERTY  Tdoc#  \* MERGEFORMAT </w:instrText>
      </w:r>
      <w:r w:rsidR="0029560D" w:rsidRPr="0029560D">
        <w:rPr>
          <w:rFonts w:cs="Arial"/>
        </w:rPr>
        <w:fldChar w:fldCharType="separate"/>
      </w:r>
      <w:r w:rsidR="0029560D" w:rsidRPr="0029560D">
        <w:rPr>
          <w:rFonts w:cs="Arial"/>
        </w:rPr>
        <w:t>R4-2108356</w:t>
      </w:r>
      <w:r w:rsidR="0029560D" w:rsidRPr="0029560D">
        <w:rPr>
          <w:rFonts w:cs="Arial"/>
        </w:rPr>
        <w:fldChar w:fldCharType="end"/>
      </w:r>
    </w:p>
    <w:p w14:paraId="441B8E21" w14:textId="35CEF7C0" w:rsidR="004F2E2A" w:rsidRDefault="004F2E2A" w:rsidP="004F2E2A">
      <w:pPr>
        <w:spacing w:after="60"/>
        <w:ind w:left="1985" w:hanging="1985"/>
        <w:rPr>
          <w:rFonts w:cs="Arial"/>
          <w:b/>
        </w:rPr>
      </w:pPr>
      <w:r>
        <w:rPr>
          <w:rFonts w:cs="Arial"/>
          <w:b/>
        </w:rPr>
        <w:t>Release:</w:t>
      </w:r>
      <w:r>
        <w:rPr>
          <w:rFonts w:cs="Arial"/>
          <w:b/>
        </w:rPr>
        <w:tab/>
      </w:r>
      <w:r w:rsidRPr="009317A0">
        <w:rPr>
          <w:rFonts w:cs="Arial"/>
        </w:rPr>
        <w:t>Rel-</w:t>
      </w:r>
      <w:r w:rsidRPr="009317A0">
        <w:rPr>
          <w:rFonts w:cs="Arial" w:hint="eastAsia"/>
        </w:rPr>
        <w:t>1</w:t>
      </w:r>
      <w:r w:rsidR="00097728">
        <w:rPr>
          <w:rFonts w:cs="Arial"/>
        </w:rPr>
        <w:t>7</w:t>
      </w:r>
    </w:p>
    <w:p w14:paraId="70286BBF" w14:textId="1DB6656F" w:rsidR="004F2E2A" w:rsidRPr="00701924" w:rsidRDefault="004F2E2A" w:rsidP="004F2E2A">
      <w:pPr>
        <w:spacing w:after="60"/>
        <w:ind w:left="1985" w:hanging="1985"/>
        <w:rPr>
          <w:rFonts w:cs="Arial"/>
          <w:bCs/>
        </w:rPr>
      </w:pPr>
      <w:r>
        <w:rPr>
          <w:rFonts w:cs="Arial"/>
          <w:b/>
        </w:rPr>
        <w:t>Work Item:</w:t>
      </w:r>
      <w:r>
        <w:rPr>
          <w:rFonts w:cs="Arial"/>
          <w:b/>
        </w:rPr>
        <w:tab/>
      </w:r>
      <w:r w:rsidR="00701924" w:rsidRPr="00701924">
        <w:rPr>
          <w:rFonts w:cs="Arial"/>
          <w:bCs/>
        </w:rPr>
        <w:t>NR_</w:t>
      </w:r>
      <w:r w:rsidR="0002755B">
        <w:rPr>
          <w:rFonts w:cs="Arial"/>
          <w:bCs/>
        </w:rPr>
        <w:t>f</w:t>
      </w:r>
      <w:r w:rsidR="00701924" w:rsidRPr="00701924">
        <w:rPr>
          <w:rFonts w:cs="Arial"/>
          <w:bCs/>
        </w:rPr>
        <w:t>eMIMO-Core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10EB9824"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6B948ED4"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472F3CE8"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Pr="00B3796E">
        <w:rPr>
          <w:rFonts w:eastAsia="宋体" w:cs="Arial"/>
          <w:bCs/>
          <w:lang w:val="es-ES"/>
        </w:rPr>
        <w:tab/>
      </w:r>
    </w:p>
    <w:p w14:paraId="4E8A9DF0" w14:textId="7F618814"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Pr="00B3796E">
        <w:rPr>
          <w:rFonts w:eastAsia="宋体" w:cs="Arial"/>
          <w:b/>
          <w:lang w:val="es-ES"/>
        </w:rPr>
        <w:tab/>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77C598AA" w:rsidR="00AC7461" w:rsidRPr="00995F33" w:rsidRDefault="00F45823" w:rsidP="00F904EB">
      <w:pPr>
        <w:pStyle w:val="CRCoverPage"/>
        <w:jc w:val="both"/>
        <w:rPr>
          <w:rFonts w:ascii="Times New Roman" w:eastAsia="等线" w:hAnsi="Times New Roman"/>
          <w:lang w:eastAsia="zh-CN"/>
        </w:rPr>
      </w:pPr>
      <w:r w:rsidRPr="003E535F">
        <w:rPr>
          <w:rFonts w:ascii="Times New Roman" w:eastAsia="等线" w:hAnsi="Times New Roman"/>
          <w:lang w:eastAsia="zh-CN"/>
        </w:rPr>
        <w:t>RAN1 would like to thank RAN</w:t>
      </w:r>
      <w:r w:rsidR="0029560D">
        <w:rPr>
          <w:rFonts w:ascii="Times New Roman" w:eastAsia="等线" w:hAnsi="Times New Roman"/>
          <w:lang w:eastAsia="zh-CN"/>
        </w:rPr>
        <w:t>4</w:t>
      </w:r>
      <w:r w:rsidRPr="003E535F">
        <w:rPr>
          <w:rFonts w:ascii="Times New Roman" w:eastAsia="等线" w:hAnsi="Times New Roman"/>
          <w:lang w:eastAsia="zh-CN"/>
        </w:rPr>
        <w:t xml:space="preserve"> for the LS</w:t>
      </w:r>
      <w:r w:rsidR="00340501">
        <w:rPr>
          <w:rFonts w:ascii="Times New Roman" w:eastAsia="等线" w:hAnsi="Times New Roman"/>
          <w:lang w:eastAsia="zh-CN"/>
        </w:rPr>
        <w:t xml:space="preserve"> Reply</w:t>
      </w:r>
      <w:r w:rsidRPr="003E535F">
        <w:rPr>
          <w:rFonts w:ascii="Times New Roman" w:eastAsia="等线" w:hAnsi="Times New Roman"/>
          <w:lang w:eastAsia="zh-CN"/>
        </w:rPr>
        <w:t xml:space="preserve"> </w:t>
      </w:r>
      <w:r w:rsidRPr="00995F33">
        <w:rPr>
          <w:rFonts w:ascii="Times New Roman" w:eastAsia="等线" w:hAnsi="Times New Roman" w:hint="eastAsia"/>
          <w:lang w:eastAsia="zh-CN"/>
        </w:rPr>
        <w:t xml:space="preserve">in </w:t>
      </w:r>
      <w:r w:rsidR="00995F33" w:rsidRPr="00995F33">
        <w:rPr>
          <w:rFonts w:ascii="Times New Roman" w:eastAsia="等线" w:hAnsi="Times New Roman"/>
          <w:lang w:eastAsia="zh-CN"/>
        </w:rPr>
        <w:t>R2-2</w:t>
      </w:r>
      <w:r w:rsidR="00461D7F">
        <w:rPr>
          <w:rFonts w:ascii="Times New Roman" w:eastAsia="等线" w:hAnsi="Times New Roman"/>
          <w:lang w:eastAsia="zh-CN"/>
        </w:rPr>
        <w:t>1</w:t>
      </w:r>
      <w:r w:rsidR="00340501" w:rsidRPr="00340501">
        <w:rPr>
          <w:rFonts w:ascii="Times New Roman" w:eastAsia="等线" w:hAnsi="Times New Roman"/>
          <w:lang w:eastAsia="zh-CN"/>
        </w:rPr>
        <w:t>06787</w:t>
      </w:r>
      <w:r w:rsidR="00E62DE3" w:rsidRPr="00995F33">
        <w:rPr>
          <w:rFonts w:ascii="Times New Roman" w:eastAsia="等线" w:hAnsi="Times New Roman"/>
          <w:lang w:eastAsia="zh-CN"/>
        </w:rPr>
        <w:t xml:space="preserve"> </w:t>
      </w:r>
      <w:r w:rsidRPr="003E535F">
        <w:rPr>
          <w:rFonts w:ascii="Times New Roman" w:eastAsia="等线" w:hAnsi="Times New Roman"/>
          <w:lang w:eastAsia="zh-CN"/>
        </w:rPr>
        <w:t xml:space="preserve">on </w:t>
      </w:r>
      <w:r w:rsidR="00340501">
        <w:rPr>
          <w:rFonts w:ascii="Times New Roman" w:eastAsia="等线" w:hAnsi="Times New Roman"/>
          <w:lang w:eastAsia="zh-CN"/>
        </w:rPr>
        <w:t xml:space="preserve">TCI state update for </w:t>
      </w:r>
      <w:r w:rsidR="0002755B">
        <w:rPr>
          <w:rFonts w:ascii="Times New Roman" w:eastAsia="等线" w:hAnsi="Times New Roman"/>
          <w:lang w:eastAsia="zh-CN"/>
        </w:rPr>
        <w:t>L1/L2-Centric Inter-Cell Mobility</w:t>
      </w:r>
      <w:r w:rsidRPr="003E535F">
        <w:rPr>
          <w:rFonts w:ascii="Times New Roman" w:eastAsia="等线" w:hAnsi="Times New Roman"/>
          <w:lang w:eastAsia="zh-CN"/>
        </w:rPr>
        <w:t>.</w:t>
      </w:r>
    </w:p>
    <w:p w14:paraId="4E8EB244" w14:textId="15A66F6F" w:rsidR="00461D7F" w:rsidRDefault="00461D7F" w:rsidP="00701924">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the following question</w:t>
      </w:r>
      <w:r w:rsidR="00DE7B86">
        <w:rPr>
          <w:rFonts w:ascii="Times New Roman" w:eastAsiaTheme="minorEastAsia" w:hAnsi="Times New Roman"/>
          <w:lang w:eastAsia="zh-CN"/>
        </w:rPr>
        <w:t>s</w:t>
      </w:r>
      <w:r>
        <w:rPr>
          <w:rFonts w:ascii="Times New Roman" w:eastAsiaTheme="minorEastAsia" w:hAnsi="Times New Roman"/>
          <w:lang w:eastAsia="zh-CN"/>
        </w:rPr>
        <w:t>:</w:t>
      </w:r>
    </w:p>
    <w:tbl>
      <w:tblPr>
        <w:tblStyle w:val="afa"/>
        <w:tblW w:w="0" w:type="auto"/>
        <w:tblLook w:val="04A0" w:firstRow="1" w:lastRow="0" w:firstColumn="1" w:lastColumn="0" w:noHBand="0" w:noVBand="1"/>
      </w:tblPr>
      <w:tblGrid>
        <w:gridCol w:w="9855"/>
      </w:tblGrid>
      <w:tr w:rsidR="00461D7F" w14:paraId="2154AE31" w14:textId="77777777" w:rsidTr="00461D7F">
        <w:tc>
          <w:tcPr>
            <w:tcW w:w="9855" w:type="dxa"/>
          </w:tcPr>
          <w:p w14:paraId="4D0D1793" w14:textId="77777777" w:rsidR="0029560D" w:rsidRDefault="0029560D" w:rsidP="0029560D">
            <w:pPr>
              <w:snapToGrid w:val="0"/>
              <w:spacing w:afterLines="50"/>
            </w:pPr>
            <w:r>
              <w:t>RAN4 would like to ask the following clarification questions for RAN4 to further respond to the question related to RAN4.</w:t>
            </w:r>
          </w:p>
          <w:p w14:paraId="0A4E2F5B" w14:textId="77777777" w:rsidR="0029560D" w:rsidRPr="00E91ECA" w:rsidRDefault="0029560D" w:rsidP="0029560D">
            <w:pPr>
              <w:pStyle w:val="af8"/>
              <w:numPr>
                <w:ilvl w:val="0"/>
                <w:numId w:val="28"/>
              </w:numPr>
              <w:spacing w:line="288" w:lineRule="auto"/>
            </w:pPr>
            <w:r w:rsidRPr="00E91ECA">
              <w:t>It is RAN4 common understanding that</w:t>
            </w:r>
            <w:r>
              <w:t xml:space="preserve"> for the</w:t>
            </w:r>
            <w:r w:rsidRPr="00E91ECA">
              <w:t xml:space="preserve"> intra-band CA scenario the primary serving cell and secondary serving cell(s) belong to the same frequency band, rather than the serving and non-serving cells belong to the same frequency band as described in the question. </w:t>
            </w:r>
            <w:r w:rsidRPr="00E52EBC">
              <w:t>Likewise intra-band CA explanation, for inter-band CA case a serving cell and secondary serving cell(s) belong to different frequency bands rather than the serving and non-serving cells.</w:t>
            </w:r>
            <w:r w:rsidDel="00C1182E">
              <w:t xml:space="preserve"> </w:t>
            </w:r>
            <w:r>
              <w:t xml:space="preserve">Can </w:t>
            </w:r>
            <w:r w:rsidRPr="00E91ECA">
              <w:t xml:space="preserve">RAN1 </w:t>
            </w:r>
            <w:r>
              <w:t>p</w:t>
            </w:r>
            <w:r w:rsidRPr="00E91ECA">
              <w:t>lease further clarify the intra-band/inter-band scenarios based on above RAN4 common understanding</w:t>
            </w:r>
            <w:r>
              <w:t>?</w:t>
            </w:r>
          </w:p>
          <w:p w14:paraId="747B7E70" w14:textId="77777777" w:rsidR="0029560D" w:rsidRPr="00E91ECA" w:rsidRDefault="0029560D" w:rsidP="0029560D">
            <w:pPr>
              <w:pStyle w:val="af8"/>
              <w:numPr>
                <w:ilvl w:val="0"/>
                <w:numId w:val="28"/>
              </w:numPr>
              <w:spacing w:line="288" w:lineRule="auto"/>
            </w:pPr>
            <w:r w:rsidRPr="00E91ECA">
              <w:t xml:space="preserve">RAN4 would like </w:t>
            </w:r>
            <w:r>
              <w:t xml:space="preserve">RAN1 </w:t>
            </w:r>
            <w:r w:rsidRPr="00E91ECA">
              <w:t xml:space="preserve">to clarify whether </w:t>
            </w:r>
            <w:r>
              <w:t>“</w:t>
            </w:r>
            <w:r w:rsidRPr="00E91ECA">
              <w:t>the operation</w:t>
            </w:r>
            <w:r>
              <w:t>”</w:t>
            </w:r>
            <w:r w:rsidRPr="00E91ECA">
              <w:t xml:space="preserve"> in question 5 </w:t>
            </w:r>
            <w:r>
              <w:t>refers</w:t>
            </w:r>
            <w:r w:rsidRPr="00E91ECA">
              <w:t xml:space="preserve"> to only L1/L2-centric inter-cell mobility or both inter-cell mobility and inter-cell mTRP operations</w:t>
            </w:r>
            <w:r>
              <w:t>. Does RAN4 need to consider inter-cell mTRP operation into the “CA scenario” of Question 5?</w:t>
            </w:r>
          </w:p>
          <w:p w14:paraId="590EA173" w14:textId="1D16950C" w:rsidR="0002755B" w:rsidRPr="0029560D" w:rsidRDefault="0029560D" w:rsidP="0029560D">
            <w:pPr>
              <w:pStyle w:val="af8"/>
              <w:numPr>
                <w:ilvl w:val="0"/>
                <w:numId w:val="28"/>
              </w:numPr>
              <w:spacing w:line="288" w:lineRule="auto"/>
            </w:pPr>
            <w:r w:rsidRPr="00E91ECA">
              <w:t xml:space="preserve">RAN4 also </w:t>
            </w:r>
            <w:r>
              <w:t>w</w:t>
            </w:r>
            <w:r w:rsidRPr="00E91ECA">
              <w:t xml:space="preserve">ould like RAN1 and RAN2 to further clarify on the definition of non-serving cell especially </w:t>
            </w:r>
            <w:r>
              <w:t>w</w:t>
            </w:r>
            <w:r w:rsidRPr="00E91ECA">
              <w:t>hether UE shall support data/control channel reception and transmission from non-serving cell</w:t>
            </w:r>
            <w:r>
              <w:t xml:space="preserve"> including </w:t>
            </w:r>
            <w:bookmarkStart w:id="0" w:name="_Hlk72938458"/>
            <w:r>
              <w:t xml:space="preserve">simultaneous </w:t>
            </w:r>
            <w:r w:rsidRPr="00E91ECA">
              <w:t>reception and transmission</w:t>
            </w:r>
            <w:r>
              <w:t xml:space="preserve"> capabilities under CA scenarios.</w:t>
            </w:r>
            <w:r w:rsidRPr="00E91ECA">
              <w:t xml:space="preserve"> </w:t>
            </w:r>
            <w:bookmarkEnd w:id="0"/>
          </w:p>
        </w:tc>
      </w:tr>
    </w:tbl>
    <w:p w14:paraId="5B5405F3" w14:textId="45631D4F" w:rsidR="00960F20" w:rsidRDefault="00960F20" w:rsidP="00EF260D">
      <w:pPr>
        <w:pStyle w:val="afc"/>
        <w:rPr>
          <w:rFonts w:eastAsiaTheme="minorEastAsia"/>
          <w:lang w:val="en-US"/>
        </w:rPr>
      </w:pPr>
    </w:p>
    <w:p w14:paraId="06684648" w14:textId="23C05390" w:rsidR="0029560D" w:rsidRDefault="0029560D" w:rsidP="00EF260D">
      <w:pPr>
        <w:pStyle w:val="afc"/>
        <w:rPr>
          <w:rFonts w:eastAsiaTheme="minorEastAsia"/>
          <w:lang w:val="en-US"/>
        </w:rPr>
      </w:pPr>
      <w:r>
        <w:rPr>
          <w:rFonts w:eastAsiaTheme="minorEastAsia" w:hint="eastAsia"/>
          <w:lang w:val="en-US"/>
        </w:rPr>
        <w:t>R</w:t>
      </w:r>
      <w:r>
        <w:rPr>
          <w:rFonts w:eastAsiaTheme="minorEastAsia"/>
          <w:lang w:val="en-US"/>
        </w:rPr>
        <w:t>AN1 would like to respond as following:</w:t>
      </w:r>
    </w:p>
    <w:p w14:paraId="52E8246F" w14:textId="77777777" w:rsidR="0029560D" w:rsidRDefault="0029560D" w:rsidP="0029560D">
      <w:pPr>
        <w:pStyle w:val="CRCoverPage"/>
        <w:jc w:val="both"/>
        <w:rPr>
          <w:rFonts w:ascii="Times New Roman" w:eastAsiaTheme="minorEastAsia" w:hAnsi="Times New Roman"/>
          <w:lang w:eastAsia="zh-CN"/>
        </w:rPr>
      </w:pPr>
    </w:p>
    <w:tbl>
      <w:tblPr>
        <w:tblStyle w:val="afa"/>
        <w:tblW w:w="0" w:type="auto"/>
        <w:tblLook w:val="04A0" w:firstRow="1" w:lastRow="0" w:firstColumn="1" w:lastColumn="0" w:noHBand="0" w:noVBand="1"/>
      </w:tblPr>
      <w:tblGrid>
        <w:gridCol w:w="9855"/>
      </w:tblGrid>
      <w:tr w:rsidR="0029560D" w14:paraId="1C8E141A" w14:textId="77777777" w:rsidTr="00D53D6C">
        <w:tc>
          <w:tcPr>
            <w:tcW w:w="9855" w:type="dxa"/>
          </w:tcPr>
          <w:p w14:paraId="2D3A1F39" w14:textId="7A8AD6FE" w:rsidR="0029560D" w:rsidRPr="00E91ECA" w:rsidRDefault="0029560D" w:rsidP="0029560D">
            <w:pPr>
              <w:pStyle w:val="af8"/>
              <w:numPr>
                <w:ilvl w:val="0"/>
                <w:numId w:val="28"/>
              </w:numPr>
              <w:spacing w:line="288" w:lineRule="auto"/>
            </w:pPr>
            <w:r>
              <w:t>RAN4’s understanding is correct that the</w:t>
            </w:r>
            <w:r w:rsidRPr="00E91ECA">
              <w:t xml:space="preserve"> intra-band CA scenario</w:t>
            </w:r>
            <w:r w:rsidR="00DE5A17">
              <w:t xml:space="preserve"> intended to mean</w:t>
            </w:r>
            <w:r w:rsidRPr="00E91ECA">
              <w:t xml:space="preserve"> the primary serving cell and secondary serving cell(s) belong to the same frequency band. </w:t>
            </w:r>
            <w:r w:rsidR="00DE5A17">
              <w:t>The described scenario in the question is for the case when intra-band or inter-band CA is configured, there are both serving and non-serving cell configured for each of the component carrier frequency.</w:t>
            </w:r>
          </w:p>
          <w:p w14:paraId="29CC9843" w14:textId="6BC0D387" w:rsidR="0029560D" w:rsidRPr="00E91ECA" w:rsidRDefault="00CC0928" w:rsidP="0029560D">
            <w:pPr>
              <w:pStyle w:val="af8"/>
              <w:numPr>
                <w:ilvl w:val="0"/>
                <w:numId w:val="28"/>
              </w:numPr>
              <w:spacing w:line="288" w:lineRule="auto"/>
            </w:pPr>
            <w:r>
              <w:t>The operation in Qu</w:t>
            </w:r>
            <w:r w:rsidR="0029560D">
              <w:t>estion 5</w:t>
            </w:r>
            <w:r>
              <w:t xml:space="preserve"> is referring to the scenarios with cell having multiple TRPs associated with different PCIs, i.e., MTRP like model.</w:t>
            </w:r>
          </w:p>
          <w:p w14:paraId="28FA11EA" w14:textId="37A37557" w:rsidR="0029560D" w:rsidRPr="0029560D" w:rsidRDefault="00CC0928" w:rsidP="00CC0928">
            <w:pPr>
              <w:pStyle w:val="af8"/>
              <w:numPr>
                <w:ilvl w:val="0"/>
                <w:numId w:val="28"/>
              </w:numPr>
              <w:spacing w:line="288" w:lineRule="auto"/>
            </w:pPr>
            <w:r w:rsidRPr="00CC0928">
              <w:t>DL reception and UL transmission from “non-serving cell” means DL reception and UL transmission associated with cells with PCI different from the serving cell</w:t>
            </w:r>
            <w:r>
              <w:t xml:space="preserve">. </w:t>
            </w:r>
            <w:r w:rsidR="0029560D" w:rsidRPr="00E91ECA">
              <w:t xml:space="preserve">UE </w:t>
            </w:r>
            <w:r>
              <w:t xml:space="preserve">does not expect to be simultaneously transmitting to or receiving from serving cells with different PCIs. This is also applicable for </w:t>
            </w:r>
            <w:r w:rsidR="0029560D">
              <w:t xml:space="preserve">CA </w:t>
            </w:r>
            <w:r w:rsidR="0029560D">
              <w:lastRenderedPageBreak/>
              <w:t>scenarios</w:t>
            </w:r>
            <w:r>
              <w:t xml:space="preserve"> where </w:t>
            </w:r>
            <w:r w:rsidR="00035B24">
              <w:t>non-serving cell may refer to different PCIs in different component carriers</w:t>
            </w:r>
            <w:r w:rsidR="0029560D">
              <w:t>.</w:t>
            </w:r>
            <w:r w:rsidR="0029560D" w:rsidRPr="00E91ECA">
              <w:t xml:space="preserve"> </w:t>
            </w:r>
          </w:p>
        </w:tc>
      </w:tr>
    </w:tbl>
    <w:p w14:paraId="2ADCEDA4" w14:textId="78956DC3" w:rsidR="0029560D" w:rsidRPr="0029560D" w:rsidRDefault="0029560D" w:rsidP="00EF260D">
      <w:pPr>
        <w:pStyle w:val="afc"/>
        <w:rPr>
          <w:rFonts w:eastAsiaTheme="minorEastAsia"/>
        </w:rPr>
      </w:pPr>
    </w:p>
    <w:p w14:paraId="133D40DB" w14:textId="77777777" w:rsidR="0029560D" w:rsidRPr="0029560D" w:rsidRDefault="0029560D" w:rsidP="00EF260D">
      <w:pPr>
        <w:pStyle w:val="afc"/>
        <w:rPr>
          <w:rFonts w:eastAsiaTheme="minorEastAsia"/>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641B5FDD" w:rsidR="00516B8C" w:rsidRPr="009F3517" w:rsidRDefault="00516B8C" w:rsidP="00516B8C">
      <w:pPr>
        <w:rPr>
          <w:b/>
        </w:rPr>
      </w:pPr>
      <w:r w:rsidRPr="009F3517">
        <w:rPr>
          <w:b/>
        </w:rPr>
        <w:t xml:space="preserve">To </w:t>
      </w:r>
      <w:r w:rsidR="007D436B">
        <w:rPr>
          <w:b/>
        </w:rPr>
        <w:t>RAN</w:t>
      </w:r>
      <w:r w:rsidR="00FB22D5">
        <w:rPr>
          <w:b/>
        </w:rPr>
        <w:t>2</w:t>
      </w:r>
    </w:p>
    <w:p w14:paraId="38C63E21" w14:textId="2A36DE6C" w:rsidR="00042DB5" w:rsidRDefault="003F0DCA" w:rsidP="00042DB5">
      <w:pPr>
        <w:rPr>
          <w:lang w:val="en-US"/>
        </w:rPr>
      </w:pPr>
      <w:r>
        <w:rPr>
          <w:b/>
        </w:rPr>
        <w:t>ACTION:</w:t>
      </w:r>
    </w:p>
    <w:p w14:paraId="46CE0416" w14:textId="09B7065C" w:rsidR="00153799" w:rsidRDefault="00153799" w:rsidP="00153799">
      <w:pPr>
        <w:pStyle w:val="CRCoverPage"/>
        <w:jc w:val="both"/>
        <w:rPr>
          <w:rFonts w:cs="Arial"/>
          <w:lang w:val="en-US"/>
        </w:rPr>
      </w:pPr>
      <w:r>
        <w:rPr>
          <w:rFonts w:cs="Arial"/>
          <w:lang w:val="en-US"/>
        </w:rPr>
        <w:t>RAN</w:t>
      </w:r>
      <w:r w:rsidR="009242D5">
        <w:rPr>
          <w:rFonts w:eastAsiaTheme="minorEastAsia" w:cs="Arial" w:hint="eastAsia"/>
          <w:lang w:val="en-US" w:eastAsia="zh-CN"/>
        </w:rPr>
        <w:t>1</w:t>
      </w:r>
      <w:r>
        <w:rPr>
          <w:rFonts w:cs="Arial"/>
          <w:lang w:val="en-US"/>
        </w:rPr>
        <w:t xml:space="preserve"> would like to respectfully request RAN</w:t>
      </w:r>
      <w:r w:rsidR="00EF1EDB">
        <w:rPr>
          <w:rFonts w:eastAsiaTheme="minorEastAsia" w:cs="Arial"/>
          <w:lang w:val="en-US" w:eastAsia="zh-CN"/>
        </w:rPr>
        <w:t>4</w:t>
      </w:r>
      <w:r>
        <w:rPr>
          <w:rFonts w:cs="Arial"/>
          <w:lang w:val="en-US"/>
        </w:rPr>
        <w:t xml:space="preserve"> to take the above </w:t>
      </w:r>
      <w:r w:rsidR="007E2CE6">
        <w:rPr>
          <w:rFonts w:eastAsiaTheme="minorEastAsia" w:cs="Arial" w:hint="eastAsia"/>
          <w:lang w:val="en-US" w:eastAsia="zh-CN"/>
        </w:rPr>
        <w:t>RAN1 feedback</w:t>
      </w:r>
      <w:r>
        <w:rPr>
          <w:rFonts w:cs="Arial"/>
          <w:lang w:val="en-US"/>
        </w:rPr>
        <w:t xml:space="preserve"> into account</w:t>
      </w:r>
      <w:r w:rsidR="00FC794E">
        <w:rPr>
          <w:rFonts w:cs="Arial"/>
          <w:lang w:val="en-U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491AAD08" w14:textId="047945D8" w:rsidR="006D5749" w:rsidRPr="00FB22D5" w:rsidRDefault="006D5749" w:rsidP="006D5749">
      <w:pPr>
        <w:tabs>
          <w:tab w:val="left" w:pos="3960"/>
          <w:tab w:val="left" w:pos="4140"/>
          <w:tab w:val="left" w:pos="4680"/>
          <w:tab w:val="left" w:pos="7200"/>
        </w:tabs>
        <w:ind w:left="2268" w:hanging="2268"/>
        <w:rPr>
          <w:bCs/>
        </w:rPr>
      </w:pPr>
      <w:r w:rsidRPr="006C6C59">
        <w:rPr>
          <w:bCs/>
        </w:rPr>
        <w:t>TSG-RAN WG1 Meeting #10</w:t>
      </w:r>
      <w:r w:rsidR="00665DEE">
        <w:rPr>
          <w:bCs/>
        </w:rPr>
        <w:t>6-bis</w:t>
      </w:r>
      <w:r w:rsidR="00815926">
        <w:rPr>
          <w:bCs/>
        </w:rPr>
        <w:t>-e</w:t>
      </w:r>
      <w:r w:rsidRPr="006C6C59">
        <w:rPr>
          <w:rFonts w:hint="eastAsia"/>
          <w:bCs/>
        </w:rPr>
        <w:t xml:space="preserve"> </w:t>
      </w:r>
      <w:r w:rsidR="00B5459D">
        <w:rPr>
          <w:bCs/>
        </w:rPr>
        <w:t xml:space="preserve">  </w:t>
      </w:r>
      <w:r w:rsidRPr="006C6C59">
        <w:rPr>
          <w:rFonts w:hint="eastAsia"/>
          <w:bCs/>
        </w:rPr>
        <w:t xml:space="preserve">  </w:t>
      </w:r>
      <w:r w:rsidR="006C6C59" w:rsidRPr="006C6C59">
        <w:rPr>
          <w:bCs/>
        </w:rPr>
        <w:t>1</w:t>
      </w:r>
      <w:r w:rsidR="00815926">
        <w:rPr>
          <w:bCs/>
        </w:rPr>
        <w:t>1</w:t>
      </w:r>
      <w:r w:rsidR="00815926">
        <w:rPr>
          <w:bCs/>
          <w:vertAlign w:val="superscript"/>
        </w:rPr>
        <w:t>th</w:t>
      </w:r>
      <w:r w:rsidR="00B5459D">
        <w:rPr>
          <w:bCs/>
        </w:rPr>
        <w:t xml:space="preserve"> </w:t>
      </w:r>
      <w:r w:rsidR="006C6C59">
        <w:rPr>
          <w:bCs/>
        </w:rPr>
        <w:t>–</w:t>
      </w:r>
      <w:r w:rsidR="006C6C59" w:rsidRPr="006C6C59">
        <w:rPr>
          <w:bCs/>
        </w:rPr>
        <w:t xml:space="preserve"> </w:t>
      </w:r>
      <w:r w:rsidR="00815926">
        <w:rPr>
          <w:bCs/>
        </w:rPr>
        <w:t>19</w:t>
      </w:r>
      <w:r w:rsidR="00B5459D" w:rsidRPr="00B5459D">
        <w:rPr>
          <w:bCs/>
          <w:vertAlign w:val="superscript"/>
        </w:rPr>
        <w:t>th</w:t>
      </w:r>
      <w:r w:rsidR="00B5459D">
        <w:rPr>
          <w:bCs/>
        </w:rPr>
        <w:t xml:space="preserve"> </w:t>
      </w:r>
      <w:r w:rsidR="00815926">
        <w:rPr>
          <w:bCs/>
        </w:rPr>
        <w:t>Oct</w:t>
      </w:r>
      <w:r w:rsidR="006C6C59">
        <w:rPr>
          <w:bCs/>
        </w:rPr>
        <w:t>.</w:t>
      </w:r>
      <w:r w:rsidR="006C6C59" w:rsidRPr="006C6C59">
        <w:rPr>
          <w:bCs/>
        </w:rPr>
        <w:t xml:space="preserve"> 202</w:t>
      </w:r>
      <w:r w:rsidR="00B5459D">
        <w:rPr>
          <w:bCs/>
        </w:rPr>
        <w:t>1</w:t>
      </w:r>
      <w:r w:rsidRPr="006C6C59">
        <w:rPr>
          <w:rFonts w:hint="eastAsia"/>
          <w:bCs/>
        </w:rPr>
        <w:t xml:space="preserve"> </w:t>
      </w:r>
      <w:r w:rsidR="006C6C59">
        <w:rPr>
          <w:bCs/>
        </w:rPr>
        <w:t xml:space="preserve">                               </w:t>
      </w:r>
      <w:r w:rsidR="00815926">
        <w:rPr>
          <w:bCs/>
        </w:rPr>
        <w:t>emeeting</w:t>
      </w:r>
    </w:p>
    <w:p w14:paraId="01A184DE" w14:textId="6EAE970C" w:rsidR="0002755B" w:rsidRDefault="0002755B" w:rsidP="0002755B">
      <w:pPr>
        <w:tabs>
          <w:tab w:val="left" w:pos="3960"/>
          <w:tab w:val="left" w:pos="4140"/>
          <w:tab w:val="left" w:pos="4680"/>
          <w:tab w:val="left" w:pos="7200"/>
        </w:tabs>
        <w:ind w:left="2268" w:hanging="2268"/>
        <w:rPr>
          <w:bCs/>
        </w:rPr>
      </w:pPr>
      <w:r w:rsidRPr="00FB22D5">
        <w:rPr>
          <w:bCs/>
        </w:rPr>
        <w:t>TSG-RAN WG1 Meeting #10</w:t>
      </w:r>
      <w:r w:rsidR="00665DEE">
        <w:rPr>
          <w:bCs/>
        </w:rPr>
        <w:t>7</w:t>
      </w:r>
      <w:r>
        <w:rPr>
          <w:bCs/>
        </w:rPr>
        <w:t>-e</w:t>
      </w:r>
      <w:r w:rsidRPr="00FB22D5">
        <w:rPr>
          <w:rFonts w:hint="eastAsia"/>
          <w:bCs/>
        </w:rPr>
        <w:t xml:space="preserve">    </w:t>
      </w:r>
      <w:r w:rsidR="00355E08">
        <w:rPr>
          <w:bCs/>
        </w:rPr>
        <w:t xml:space="preserve">    </w:t>
      </w:r>
      <w:r>
        <w:rPr>
          <w:bCs/>
        </w:rPr>
        <w:t>1</w:t>
      </w:r>
      <w:r w:rsidR="00355E08">
        <w:rPr>
          <w:bCs/>
        </w:rPr>
        <w:t>1</w:t>
      </w:r>
      <w:r w:rsidRPr="00B5459D">
        <w:rPr>
          <w:bCs/>
          <w:vertAlign w:val="superscript"/>
        </w:rPr>
        <w:t>th</w:t>
      </w:r>
      <w:r w:rsidRPr="00FB22D5">
        <w:rPr>
          <w:bCs/>
        </w:rPr>
        <w:t xml:space="preserve"> </w:t>
      </w:r>
      <w:r>
        <w:rPr>
          <w:bCs/>
        </w:rPr>
        <w:t xml:space="preserve">– </w:t>
      </w:r>
      <w:r w:rsidR="00355E08">
        <w:rPr>
          <w:bCs/>
        </w:rPr>
        <w:t>19</w:t>
      </w:r>
      <w:r w:rsidRPr="00B5459D">
        <w:rPr>
          <w:bCs/>
          <w:vertAlign w:val="superscript"/>
        </w:rPr>
        <w:t>th</w:t>
      </w:r>
      <w:r>
        <w:rPr>
          <w:bCs/>
        </w:rPr>
        <w:t xml:space="preserve"> </w:t>
      </w:r>
      <w:r w:rsidR="00A06B87">
        <w:rPr>
          <w:bCs/>
        </w:rPr>
        <w:t>Nov</w:t>
      </w:r>
      <w:r>
        <w:rPr>
          <w:bCs/>
        </w:rPr>
        <w:t>.</w:t>
      </w:r>
      <w:r w:rsidRPr="00FB22D5">
        <w:rPr>
          <w:rFonts w:hint="eastAsia"/>
          <w:bCs/>
        </w:rPr>
        <w:t xml:space="preserve"> 202</w:t>
      </w:r>
      <w:r>
        <w:rPr>
          <w:bCs/>
        </w:rPr>
        <w:t xml:space="preserve">1      </w:t>
      </w:r>
      <w:r w:rsidRPr="00FB22D5">
        <w:rPr>
          <w:rFonts w:hint="eastAsia"/>
          <w:bCs/>
        </w:rPr>
        <w:t xml:space="preserve">      </w:t>
      </w:r>
      <w:r>
        <w:rPr>
          <w:bCs/>
        </w:rPr>
        <w:t xml:space="preserve">                   emeeting</w:t>
      </w: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82E2B" w14:textId="77777777" w:rsidR="009D19E9" w:rsidRDefault="009D19E9">
      <w:r>
        <w:separator/>
      </w:r>
    </w:p>
  </w:endnote>
  <w:endnote w:type="continuationSeparator" w:id="0">
    <w:p w14:paraId="71C590E4" w14:textId="77777777" w:rsidR="009D19E9" w:rsidRDefault="009D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98BA2" w14:textId="77777777" w:rsidR="009D19E9" w:rsidRDefault="009D19E9">
      <w:r>
        <w:separator/>
      </w:r>
    </w:p>
  </w:footnote>
  <w:footnote w:type="continuationSeparator" w:id="0">
    <w:p w14:paraId="171451DE" w14:textId="77777777" w:rsidR="009D19E9" w:rsidRDefault="009D1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A8EA4" w14:textId="77777777" w:rsidR="00882D73" w:rsidRDefault="0088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AC6404"/>
    <w:multiLevelType w:val="hybridMultilevel"/>
    <w:tmpl w:val="62EC5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5"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9"/>
  </w:num>
  <w:num w:numId="3">
    <w:abstractNumId w:val="14"/>
  </w:num>
  <w:num w:numId="4">
    <w:abstractNumId w:val="15"/>
  </w:num>
  <w:num w:numId="5">
    <w:abstractNumId w:val="9"/>
  </w:num>
  <w:num w:numId="6">
    <w:abstractNumId w:val="17"/>
  </w:num>
  <w:num w:numId="7">
    <w:abstractNumId w:val="22"/>
  </w:num>
  <w:num w:numId="8">
    <w:abstractNumId w:val="11"/>
  </w:num>
  <w:num w:numId="9">
    <w:abstractNumId w:val="21"/>
  </w:num>
  <w:num w:numId="10">
    <w:abstractNumId w:val="7"/>
  </w:num>
  <w:num w:numId="11">
    <w:abstractNumId w:val="24"/>
  </w:num>
  <w:num w:numId="12">
    <w:abstractNumId w:val="25"/>
  </w:num>
  <w:num w:numId="13">
    <w:abstractNumId w:val="13"/>
  </w:num>
  <w:num w:numId="14">
    <w:abstractNumId w:val="4"/>
  </w:num>
  <w:num w:numId="15">
    <w:abstractNumId w:val="10"/>
  </w:num>
  <w:num w:numId="16">
    <w:abstractNumId w:val="5"/>
  </w:num>
  <w:num w:numId="17">
    <w:abstractNumId w:val="20"/>
  </w:num>
  <w:num w:numId="18">
    <w:abstractNumId w:val="26"/>
  </w:num>
  <w:num w:numId="19">
    <w:abstractNumId w:val="16"/>
  </w:num>
  <w:num w:numId="20">
    <w:abstractNumId w:val="23"/>
  </w:num>
  <w:num w:numId="21">
    <w:abstractNumId w:val="12"/>
  </w:num>
  <w:num w:numId="22">
    <w:abstractNumId w:val="27"/>
  </w:num>
  <w:num w:numId="23">
    <w:abstractNumId w:val="8"/>
  </w:num>
  <w:num w:numId="24">
    <w:abstractNumId w:val="2"/>
  </w:num>
  <w:num w:numId="25">
    <w:abstractNumId w:val="1"/>
  </w:num>
  <w:num w:numId="26">
    <w:abstractNumId w:val="0"/>
  </w:num>
  <w:num w:numId="27">
    <w:abstractNumId w:val="6"/>
  </w:num>
  <w:num w:numId="2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55B"/>
    <w:rsid w:val="00027939"/>
    <w:rsid w:val="00030E9E"/>
    <w:rsid w:val="000325B8"/>
    <w:rsid w:val="00034C15"/>
    <w:rsid w:val="00035B24"/>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7BDC"/>
    <w:rsid w:val="00077E5F"/>
    <w:rsid w:val="0008036A"/>
    <w:rsid w:val="00081160"/>
    <w:rsid w:val="00081AE6"/>
    <w:rsid w:val="00082C31"/>
    <w:rsid w:val="0008359B"/>
    <w:rsid w:val="000855EB"/>
    <w:rsid w:val="00085B52"/>
    <w:rsid w:val="000866F2"/>
    <w:rsid w:val="0009009F"/>
    <w:rsid w:val="00091557"/>
    <w:rsid w:val="000924C1"/>
    <w:rsid w:val="000924F0"/>
    <w:rsid w:val="00093474"/>
    <w:rsid w:val="0009510F"/>
    <w:rsid w:val="00096131"/>
    <w:rsid w:val="000976C2"/>
    <w:rsid w:val="00097728"/>
    <w:rsid w:val="000A028B"/>
    <w:rsid w:val="000A0C80"/>
    <w:rsid w:val="000A1B7B"/>
    <w:rsid w:val="000A2D6B"/>
    <w:rsid w:val="000A56F2"/>
    <w:rsid w:val="000B2719"/>
    <w:rsid w:val="000B3A8F"/>
    <w:rsid w:val="000B4AB9"/>
    <w:rsid w:val="000B58C3"/>
    <w:rsid w:val="000B61E9"/>
    <w:rsid w:val="000C1547"/>
    <w:rsid w:val="000C165A"/>
    <w:rsid w:val="000C2E19"/>
    <w:rsid w:val="000D0D07"/>
    <w:rsid w:val="000D4797"/>
    <w:rsid w:val="000D631A"/>
    <w:rsid w:val="000E0527"/>
    <w:rsid w:val="000E1E92"/>
    <w:rsid w:val="000E46A7"/>
    <w:rsid w:val="000F06D6"/>
    <w:rsid w:val="000F0EB1"/>
    <w:rsid w:val="000F1106"/>
    <w:rsid w:val="000F197C"/>
    <w:rsid w:val="000F29D6"/>
    <w:rsid w:val="000F2ABD"/>
    <w:rsid w:val="000F3BE9"/>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18FB"/>
    <w:rsid w:val="00172793"/>
    <w:rsid w:val="00173A8E"/>
    <w:rsid w:val="00177795"/>
    <w:rsid w:val="0018143F"/>
    <w:rsid w:val="00190AC1"/>
    <w:rsid w:val="0019341A"/>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560D"/>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64E9"/>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DA"/>
    <w:rsid w:val="00340501"/>
    <w:rsid w:val="00340CF2"/>
    <w:rsid w:val="00341792"/>
    <w:rsid w:val="00342ACC"/>
    <w:rsid w:val="00342BD7"/>
    <w:rsid w:val="00343A07"/>
    <w:rsid w:val="003446DF"/>
    <w:rsid w:val="00344BC7"/>
    <w:rsid w:val="00345CD1"/>
    <w:rsid w:val="00346DB5"/>
    <w:rsid w:val="003477B1"/>
    <w:rsid w:val="003539D0"/>
    <w:rsid w:val="0035482C"/>
    <w:rsid w:val="00355E08"/>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976DA"/>
    <w:rsid w:val="003A2223"/>
    <w:rsid w:val="003A2A0F"/>
    <w:rsid w:val="003A45A1"/>
    <w:rsid w:val="003A4C07"/>
    <w:rsid w:val="003A5B0A"/>
    <w:rsid w:val="003A6BAC"/>
    <w:rsid w:val="003A7EF3"/>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3898"/>
    <w:rsid w:val="004D07C2"/>
    <w:rsid w:val="004D36B1"/>
    <w:rsid w:val="004D3D48"/>
    <w:rsid w:val="004D7EBD"/>
    <w:rsid w:val="004E2680"/>
    <w:rsid w:val="004E28F9"/>
    <w:rsid w:val="004E3695"/>
    <w:rsid w:val="004E462E"/>
    <w:rsid w:val="004E56DC"/>
    <w:rsid w:val="004E76F4"/>
    <w:rsid w:val="004F0B4E"/>
    <w:rsid w:val="004F0B6C"/>
    <w:rsid w:val="004F2078"/>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6970"/>
    <w:rsid w:val="005501B7"/>
    <w:rsid w:val="00551E04"/>
    <w:rsid w:val="00552519"/>
    <w:rsid w:val="005533A9"/>
    <w:rsid w:val="00554E19"/>
    <w:rsid w:val="00560E23"/>
    <w:rsid w:val="0056121F"/>
    <w:rsid w:val="00562493"/>
    <w:rsid w:val="005628AF"/>
    <w:rsid w:val="00562D61"/>
    <w:rsid w:val="005636D4"/>
    <w:rsid w:val="00567422"/>
    <w:rsid w:val="00571A7C"/>
    <w:rsid w:val="00572505"/>
    <w:rsid w:val="00573D00"/>
    <w:rsid w:val="00575D57"/>
    <w:rsid w:val="00580202"/>
    <w:rsid w:val="005822A1"/>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FB"/>
    <w:rsid w:val="005C78A1"/>
    <w:rsid w:val="005D09E2"/>
    <w:rsid w:val="005D1602"/>
    <w:rsid w:val="005E153E"/>
    <w:rsid w:val="005E1C6D"/>
    <w:rsid w:val="005E385F"/>
    <w:rsid w:val="005E5B81"/>
    <w:rsid w:val="005F2041"/>
    <w:rsid w:val="005F2CB1"/>
    <w:rsid w:val="005F3025"/>
    <w:rsid w:val="005F4D03"/>
    <w:rsid w:val="005F618C"/>
    <w:rsid w:val="005F6FF2"/>
    <w:rsid w:val="005F70B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5D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41DF"/>
    <w:rsid w:val="00694B56"/>
    <w:rsid w:val="00695FC2"/>
    <w:rsid w:val="00696949"/>
    <w:rsid w:val="00696B67"/>
    <w:rsid w:val="00697052"/>
    <w:rsid w:val="006973D0"/>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2D76"/>
    <w:rsid w:val="00733667"/>
    <w:rsid w:val="007348B1"/>
    <w:rsid w:val="00734B23"/>
    <w:rsid w:val="007362A6"/>
    <w:rsid w:val="00736D7D"/>
    <w:rsid w:val="00740E58"/>
    <w:rsid w:val="00742850"/>
    <w:rsid w:val="00743629"/>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436B"/>
    <w:rsid w:val="007D5901"/>
    <w:rsid w:val="007D7526"/>
    <w:rsid w:val="007E0957"/>
    <w:rsid w:val="007E2CE6"/>
    <w:rsid w:val="007E4610"/>
    <w:rsid w:val="007E4715"/>
    <w:rsid w:val="007E505B"/>
    <w:rsid w:val="007E7091"/>
    <w:rsid w:val="007F1D76"/>
    <w:rsid w:val="007F5768"/>
    <w:rsid w:val="00800588"/>
    <w:rsid w:val="00801136"/>
    <w:rsid w:val="00803FAE"/>
    <w:rsid w:val="0080605F"/>
    <w:rsid w:val="00807786"/>
    <w:rsid w:val="00811408"/>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A1B0E"/>
    <w:rsid w:val="008A21FF"/>
    <w:rsid w:val="008A2CE2"/>
    <w:rsid w:val="008A30AC"/>
    <w:rsid w:val="008A44B8"/>
    <w:rsid w:val="008A51A8"/>
    <w:rsid w:val="008A5233"/>
    <w:rsid w:val="008A54C7"/>
    <w:rsid w:val="008A77D8"/>
    <w:rsid w:val="008B0483"/>
    <w:rsid w:val="008B120C"/>
    <w:rsid w:val="008B4EDE"/>
    <w:rsid w:val="008B51A0"/>
    <w:rsid w:val="008B592A"/>
    <w:rsid w:val="008B62B7"/>
    <w:rsid w:val="008B7B5C"/>
    <w:rsid w:val="008C0C99"/>
    <w:rsid w:val="008C2017"/>
    <w:rsid w:val="008C46A8"/>
    <w:rsid w:val="008C4958"/>
    <w:rsid w:val="008C4BAA"/>
    <w:rsid w:val="008C6AE8"/>
    <w:rsid w:val="008C7573"/>
    <w:rsid w:val="008D34F1"/>
    <w:rsid w:val="008D39D8"/>
    <w:rsid w:val="008D3E4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70DD"/>
    <w:rsid w:val="00997370"/>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1F0A"/>
    <w:rsid w:val="009C403E"/>
    <w:rsid w:val="009C456E"/>
    <w:rsid w:val="009D19E9"/>
    <w:rsid w:val="009D261C"/>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06B87"/>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30E7"/>
    <w:rsid w:val="00A555F3"/>
    <w:rsid w:val="00A55705"/>
    <w:rsid w:val="00A557CF"/>
    <w:rsid w:val="00A61499"/>
    <w:rsid w:val="00A62A77"/>
    <w:rsid w:val="00A63483"/>
    <w:rsid w:val="00A64528"/>
    <w:rsid w:val="00A657D7"/>
    <w:rsid w:val="00A660AC"/>
    <w:rsid w:val="00A67E6C"/>
    <w:rsid w:val="00A71B99"/>
    <w:rsid w:val="00A739D0"/>
    <w:rsid w:val="00A761D4"/>
    <w:rsid w:val="00A76B1D"/>
    <w:rsid w:val="00A77EC4"/>
    <w:rsid w:val="00A9086E"/>
    <w:rsid w:val="00A92879"/>
    <w:rsid w:val="00A9442A"/>
    <w:rsid w:val="00AA016F"/>
    <w:rsid w:val="00AA024A"/>
    <w:rsid w:val="00AA1ED6"/>
    <w:rsid w:val="00AA3680"/>
    <w:rsid w:val="00AA51D6"/>
    <w:rsid w:val="00AA73F0"/>
    <w:rsid w:val="00AB0BC8"/>
    <w:rsid w:val="00AB11CA"/>
    <w:rsid w:val="00AB14D9"/>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227"/>
    <w:rsid w:val="00B02AA9"/>
    <w:rsid w:val="00B02FA3"/>
    <w:rsid w:val="00B05084"/>
    <w:rsid w:val="00B05E84"/>
    <w:rsid w:val="00B0649B"/>
    <w:rsid w:val="00B105B4"/>
    <w:rsid w:val="00B157F9"/>
    <w:rsid w:val="00B167F1"/>
    <w:rsid w:val="00B17D36"/>
    <w:rsid w:val="00B20256"/>
    <w:rsid w:val="00B20D09"/>
    <w:rsid w:val="00B2152F"/>
    <w:rsid w:val="00B222B4"/>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076B"/>
    <w:rsid w:val="00B62AAA"/>
    <w:rsid w:val="00B664C7"/>
    <w:rsid w:val="00B6692F"/>
    <w:rsid w:val="00B66969"/>
    <w:rsid w:val="00B66CF5"/>
    <w:rsid w:val="00B739F6"/>
    <w:rsid w:val="00B73D1F"/>
    <w:rsid w:val="00B75342"/>
    <w:rsid w:val="00B77B2D"/>
    <w:rsid w:val="00B81001"/>
    <w:rsid w:val="00B81A6C"/>
    <w:rsid w:val="00B83EEF"/>
    <w:rsid w:val="00B84359"/>
    <w:rsid w:val="00B85DE5"/>
    <w:rsid w:val="00B86EEE"/>
    <w:rsid w:val="00B90C74"/>
    <w:rsid w:val="00B90F73"/>
    <w:rsid w:val="00B91E3E"/>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FAA"/>
    <w:rsid w:val="00C279B5"/>
    <w:rsid w:val="00C27C45"/>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0928"/>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424F"/>
    <w:rsid w:val="00DE31D5"/>
    <w:rsid w:val="00DE52CA"/>
    <w:rsid w:val="00DE5608"/>
    <w:rsid w:val="00DE58D0"/>
    <w:rsid w:val="00DE5A17"/>
    <w:rsid w:val="00DE5C9E"/>
    <w:rsid w:val="00DE654F"/>
    <w:rsid w:val="00DE7501"/>
    <w:rsid w:val="00DE7B86"/>
    <w:rsid w:val="00DF0B6E"/>
    <w:rsid w:val="00DF15E0"/>
    <w:rsid w:val="00DF37A0"/>
    <w:rsid w:val="00DF6C25"/>
    <w:rsid w:val="00E00EDF"/>
    <w:rsid w:val="00E01334"/>
    <w:rsid w:val="00E03511"/>
    <w:rsid w:val="00E06532"/>
    <w:rsid w:val="00E110E7"/>
    <w:rsid w:val="00E11B20"/>
    <w:rsid w:val="00E1555C"/>
    <w:rsid w:val="00E17FA2"/>
    <w:rsid w:val="00E22330"/>
    <w:rsid w:val="00E25EFE"/>
    <w:rsid w:val="00E30B5A"/>
    <w:rsid w:val="00E3123D"/>
    <w:rsid w:val="00E31461"/>
    <w:rsid w:val="00E31D43"/>
    <w:rsid w:val="00E32608"/>
    <w:rsid w:val="00E32BE3"/>
    <w:rsid w:val="00E34188"/>
    <w:rsid w:val="00E345CD"/>
    <w:rsid w:val="00E34B6E"/>
    <w:rsid w:val="00E35559"/>
    <w:rsid w:val="00E36E16"/>
    <w:rsid w:val="00E3723A"/>
    <w:rsid w:val="00E37860"/>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A170C"/>
    <w:rsid w:val="00EA2C50"/>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0BE6"/>
    <w:rsid w:val="00EE2A73"/>
    <w:rsid w:val="00EE74F6"/>
    <w:rsid w:val="00EE7DC7"/>
    <w:rsid w:val="00EF18FE"/>
    <w:rsid w:val="00EF1EDB"/>
    <w:rsid w:val="00EF260D"/>
    <w:rsid w:val="00EF4668"/>
    <w:rsid w:val="00EF5787"/>
    <w:rsid w:val="00EF60D0"/>
    <w:rsid w:val="00EF61BA"/>
    <w:rsid w:val="00EF7670"/>
    <w:rsid w:val="00F00761"/>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9560D"/>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表段落11"/>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 w:type="paragraph" w:customStyle="1" w:styleId="00BodyText">
    <w:name w:val="00 BodyText"/>
    <w:basedOn w:val="a0"/>
    <w:uiPriority w:val="99"/>
    <w:rsid w:val="009C1F0A"/>
    <w:pPr>
      <w:widowControl w:val="0"/>
      <w:overflowPunct/>
      <w:autoSpaceDE/>
      <w:autoSpaceDN/>
      <w:adjustRightInd/>
      <w:spacing w:after="220"/>
      <w:textAlignment w:val="auto"/>
    </w:pPr>
    <w:rPr>
      <w:rFonts w:eastAsiaTheme="minorEastAsia" w:cstheme="minorBidi"/>
      <w:kern w:val="2"/>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20989200">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693603864">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820685475">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8EBE0-D8FD-444D-ADB0-117B06EF0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478</TotalTime>
  <Pages>2</Pages>
  <Words>458</Words>
  <Characters>2617</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Peng Sun(vivo)</cp:lastModifiedBy>
  <cp:revision>154</cp:revision>
  <cp:lastPrinted>2008-01-31T06:09:00Z</cp:lastPrinted>
  <dcterms:created xsi:type="dcterms:W3CDTF">2019-11-19T03:00:00Z</dcterms:created>
  <dcterms:modified xsi:type="dcterms:W3CDTF">2021-08-06T11:03:00Z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